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4B40" w14:textId="12E70E7C" w:rsidR="00582645" w:rsidRPr="00D45495" w:rsidRDefault="00211E7E" w:rsidP="00A962E2">
      <w:pPr>
        <w:jc w:val="center"/>
        <w:rPr>
          <w:rFonts w:cstheme="minorHAnsi"/>
          <w:sz w:val="20"/>
          <w:szCs w:val="20"/>
          <w:u w:val="single"/>
        </w:rPr>
      </w:pPr>
      <w:r w:rsidRPr="00D45495">
        <w:rPr>
          <w:rFonts w:cstheme="minorHAnsi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D865E14" wp14:editId="327CC409">
            <wp:simplePos x="0" y="0"/>
            <wp:positionH relativeFrom="page">
              <wp:posOffset>6055228</wp:posOffset>
            </wp:positionH>
            <wp:positionV relativeFrom="paragraph">
              <wp:posOffset>-463137</wp:posOffset>
            </wp:positionV>
            <wp:extent cx="1318260" cy="878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CF1" w:rsidRPr="00D45495">
        <w:rPr>
          <w:rFonts w:cstheme="minorHAnsi"/>
          <w:sz w:val="20"/>
          <w:szCs w:val="20"/>
          <w:u w:val="single"/>
        </w:rPr>
        <w:t xml:space="preserve"> </w:t>
      </w:r>
      <w:r w:rsidRPr="00D45495">
        <w:rPr>
          <w:rFonts w:cstheme="minorHAnsi"/>
          <w:sz w:val="20"/>
          <w:szCs w:val="20"/>
          <w:u w:val="single"/>
        </w:rPr>
        <w:br/>
      </w:r>
      <w:r w:rsidRPr="00D45495">
        <w:rPr>
          <w:rFonts w:cstheme="minorHAnsi"/>
          <w:sz w:val="24"/>
          <w:szCs w:val="24"/>
          <w:u w:val="single"/>
        </w:rPr>
        <w:t xml:space="preserve">THE ARK </w:t>
      </w:r>
      <w:r w:rsidR="00386CF1">
        <w:rPr>
          <w:rFonts w:cstheme="minorHAnsi"/>
          <w:sz w:val="24"/>
          <w:szCs w:val="24"/>
          <w:u w:val="single"/>
        </w:rPr>
        <w:t>GEDLING</w:t>
      </w:r>
      <w:r w:rsidR="00EF3A95" w:rsidRPr="00D45495">
        <w:rPr>
          <w:rFonts w:cstheme="minorHAnsi"/>
          <w:sz w:val="20"/>
          <w:szCs w:val="20"/>
          <w:u w:val="single"/>
        </w:rPr>
        <w:br/>
        <w:t xml:space="preserve">REGISTERED CHARITY: </w:t>
      </w:r>
      <w:r w:rsidR="00CD74F2">
        <w:rPr>
          <w:rFonts w:cstheme="minorHAnsi"/>
          <w:sz w:val="20"/>
          <w:szCs w:val="20"/>
          <w:u w:val="single"/>
        </w:rPr>
        <w:t>1212587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6274" w:rsidRPr="00D45495" w14:paraId="07761463" w14:textId="77777777" w:rsidTr="00256274">
        <w:tc>
          <w:tcPr>
            <w:tcW w:w="4675" w:type="dxa"/>
          </w:tcPr>
          <w:p w14:paraId="71F70776" w14:textId="57DC466C" w:rsidR="00256274" w:rsidRPr="004F39B0" w:rsidRDefault="00256274" w:rsidP="0004729E">
            <w:pPr>
              <w:rPr>
                <w:rFonts w:cstheme="minorHAnsi"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 xml:space="preserve">JOB TITLE: </w:t>
            </w:r>
            <w:r w:rsidR="005F07F7">
              <w:rPr>
                <w:rFonts w:cstheme="minorHAnsi"/>
                <w:sz w:val="18"/>
                <w:szCs w:val="18"/>
              </w:rPr>
              <w:t>Welfare Rights Adviser</w:t>
            </w:r>
          </w:p>
          <w:p w14:paraId="4FE9EEFC" w14:textId="3FC14CA2" w:rsidR="00256274" w:rsidRPr="004F39B0" w:rsidRDefault="00256274" w:rsidP="0004729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5" w:type="dxa"/>
          </w:tcPr>
          <w:p w14:paraId="5C822298" w14:textId="35372516" w:rsidR="00256274" w:rsidRPr="006D4EBA" w:rsidRDefault="00256274" w:rsidP="006D4EB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>Salary:</w:t>
            </w:r>
            <w:r w:rsidR="006D4EBA">
              <w:rPr>
                <w:rFonts w:cstheme="minorHAnsi"/>
                <w:b/>
                <w:bCs/>
                <w:sz w:val="18"/>
                <w:szCs w:val="18"/>
              </w:rPr>
              <w:t xml:space="preserve"> £25,000</w:t>
            </w:r>
            <w:r w:rsidR="00992AA6">
              <w:rPr>
                <w:rFonts w:cstheme="minorHAnsi"/>
                <w:b/>
                <w:bCs/>
                <w:sz w:val="18"/>
                <w:szCs w:val="18"/>
              </w:rPr>
              <w:t>-28,000 depending on experience</w:t>
            </w:r>
          </w:p>
        </w:tc>
      </w:tr>
      <w:tr w:rsidR="00256274" w:rsidRPr="00D45495" w14:paraId="23BDBF6E" w14:textId="77777777" w:rsidTr="00256274">
        <w:tc>
          <w:tcPr>
            <w:tcW w:w="4675" w:type="dxa"/>
          </w:tcPr>
          <w:p w14:paraId="1CFDDFC2" w14:textId="2590CA97" w:rsidR="00256274" w:rsidRPr="00D82E61" w:rsidRDefault="000C6D66" w:rsidP="0004729E">
            <w:pPr>
              <w:rPr>
                <w:rFonts w:cstheme="minorHAnsi"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 xml:space="preserve">Hours: </w:t>
            </w:r>
            <w:r w:rsidR="00FB5673" w:rsidRPr="00D82E61">
              <w:rPr>
                <w:rFonts w:cstheme="minorHAnsi"/>
                <w:sz w:val="18"/>
                <w:szCs w:val="18"/>
              </w:rPr>
              <w:t>3</w:t>
            </w:r>
            <w:r w:rsidR="008B595E" w:rsidRPr="00D82E61">
              <w:rPr>
                <w:rFonts w:cstheme="minorHAnsi"/>
                <w:sz w:val="18"/>
                <w:szCs w:val="18"/>
              </w:rPr>
              <w:t xml:space="preserve">5 </w:t>
            </w:r>
            <w:r w:rsidR="00FB5673" w:rsidRPr="00D82E61">
              <w:rPr>
                <w:rFonts w:cstheme="minorHAnsi"/>
                <w:sz w:val="18"/>
                <w:szCs w:val="18"/>
              </w:rPr>
              <w:t>hours per week</w:t>
            </w:r>
            <w:r w:rsidR="00992AA6">
              <w:rPr>
                <w:rFonts w:cstheme="minorHAnsi"/>
                <w:sz w:val="18"/>
                <w:szCs w:val="18"/>
              </w:rPr>
              <w:t xml:space="preserve"> with 15.5 hours available depending on candidates</w:t>
            </w:r>
          </w:p>
          <w:p w14:paraId="57F8D468" w14:textId="2CBAD2CB" w:rsidR="00256274" w:rsidRPr="004F39B0" w:rsidRDefault="00256274" w:rsidP="0004729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5" w:type="dxa"/>
          </w:tcPr>
          <w:p w14:paraId="735E8555" w14:textId="0A68DE03" w:rsidR="00256274" w:rsidRPr="004F39B0" w:rsidRDefault="000C6D66" w:rsidP="000C6D66">
            <w:pPr>
              <w:rPr>
                <w:rFonts w:cstheme="minorHAnsi"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>Annual Leave Allowance</w:t>
            </w:r>
            <w:r w:rsidR="004F39B0" w:rsidRPr="004F39B0">
              <w:rPr>
                <w:rFonts w:cstheme="minorHAnsi"/>
                <w:b/>
                <w:bCs/>
                <w:sz w:val="18"/>
                <w:szCs w:val="18"/>
              </w:rPr>
              <w:t xml:space="preserve"> + pension: </w:t>
            </w:r>
            <w:r w:rsidR="004F39B0" w:rsidRPr="004F39B0">
              <w:rPr>
                <w:rFonts w:cstheme="minorHAnsi"/>
                <w:sz w:val="18"/>
                <w:szCs w:val="18"/>
              </w:rPr>
              <w:t xml:space="preserve">Currently statutory minimum applies, however, there is a possibility of negotiating on these with a successful candidate. </w:t>
            </w:r>
          </w:p>
          <w:p w14:paraId="7FF98DB1" w14:textId="60863E2A" w:rsidR="004F39B0" w:rsidRPr="004F39B0" w:rsidRDefault="004F39B0" w:rsidP="000C6D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56274" w:rsidRPr="00D45495" w14:paraId="031244B4" w14:textId="77777777" w:rsidTr="00256274">
        <w:tc>
          <w:tcPr>
            <w:tcW w:w="4675" w:type="dxa"/>
          </w:tcPr>
          <w:p w14:paraId="3EE9466F" w14:textId="229443F5" w:rsidR="00256274" w:rsidRPr="0073195A" w:rsidRDefault="00256274" w:rsidP="0004729E">
            <w:pPr>
              <w:rPr>
                <w:rFonts w:cstheme="minorHAnsi"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 xml:space="preserve">Responsible to: </w:t>
            </w:r>
            <w:r w:rsidR="0073195A">
              <w:rPr>
                <w:rFonts w:cstheme="minorHAnsi"/>
                <w:sz w:val="18"/>
                <w:szCs w:val="18"/>
              </w:rPr>
              <w:t>Senior Adviser</w:t>
            </w:r>
          </w:p>
          <w:p w14:paraId="4165A9D1" w14:textId="77777777" w:rsidR="00256274" w:rsidRPr="004F39B0" w:rsidRDefault="00256274" w:rsidP="0004729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</w:tcPr>
          <w:p w14:paraId="74307C02" w14:textId="5ECE7714" w:rsidR="0030582F" w:rsidRPr="004F39B0" w:rsidRDefault="0030582F" w:rsidP="000C6D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56274" w:rsidRPr="00D45495" w14:paraId="22F6D279" w14:textId="77777777" w:rsidTr="00256274">
        <w:tc>
          <w:tcPr>
            <w:tcW w:w="4675" w:type="dxa"/>
          </w:tcPr>
          <w:p w14:paraId="78ED2F01" w14:textId="01C41BE1" w:rsidR="00256274" w:rsidRPr="004F39B0" w:rsidRDefault="00256274" w:rsidP="0004729E">
            <w:pPr>
              <w:rPr>
                <w:rFonts w:cstheme="minorHAnsi"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 xml:space="preserve">Location: </w:t>
            </w:r>
            <w:r w:rsidRPr="004F39B0">
              <w:rPr>
                <w:rFonts w:cstheme="minorHAnsi"/>
                <w:sz w:val="18"/>
                <w:szCs w:val="18"/>
              </w:rPr>
              <w:t>The Ark Advice Centre, NG4 4HX</w:t>
            </w:r>
            <w:r w:rsidR="0073195A">
              <w:rPr>
                <w:rFonts w:cstheme="minorHAnsi"/>
                <w:sz w:val="18"/>
                <w:szCs w:val="18"/>
              </w:rPr>
              <w:t xml:space="preserve"> and </w:t>
            </w:r>
            <w:r w:rsidR="00A61BA0">
              <w:rPr>
                <w:rFonts w:cstheme="minorHAnsi"/>
                <w:sz w:val="18"/>
                <w:szCs w:val="18"/>
              </w:rPr>
              <w:t>local area, e.g., food bank</w:t>
            </w:r>
          </w:p>
          <w:p w14:paraId="6EE25720" w14:textId="77777777" w:rsidR="00256274" w:rsidRPr="004F39B0" w:rsidRDefault="00256274" w:rsidP="0004729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</w:tcPr>
          <w:p w14:paraId="7C354722" w14:textId="5DC95B78" w:rsidR="00256274" w:rsidRPr="004F39B0" w:rsidRDefault="00256274" w:rsidP="0004729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CBF9DA0" w14:textId="77777777" w:rsidR="00256274" w:rsidRDefault="00256274" w:rsidP="0004729E">
      <w:pPr>
        <w:rPr>
          <w:rFonts w:cstheme="minorHAnsi"/>
          <w:b/>
          <w:bCs/>
          <w:sz w:val="20"/>
          <w:szCs w:val="20"/>
        </w:rPr>
      </w:pPr>
    </w:p>
    <w:p w14:paraId="104F9C1B" w14:textId="42D03F3F" w:rsidR="00DA4A3E" w:rsidRDefault="00DA4A3E" w:rsidP="0004729E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About the Ark Gedling</w:t>
      </w:r>
    </w:p>
    <w:p w14:paraId="1A41ED59" w14:textId="172E4341" w:rsidR="00A962E2" w:rsidRPr="00D45495" w:rsidRDefault="00E6091D" w:rsidP="0039316F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 xml:space="preserve">The Ark </w:t>
      </w:r>
      <w:r w:rsidR="00CD74F2">
        <w:rPr>
          <w:rFonts w:cstheme="minorHAnsi"/>
          <w:sz w:val="20"/>
          <w:szCs w:val="20"/>
        </w:rPr>
        <w:t xml:space="preserve">Gedling </w:t>
      </w:r>
      <w:r w:rsidR="00323E9A">
        <w:rPr>
          <w:rFonts w:cstheme="minorHAnsi"/>
          <w:sz w:val="20"/>
          <w:szCs w:val="20"/>
        </w:rPr>
        <w:t xml:space="preserve">is a Christian charity that </w:t>
      </w:r>
      <w:r w:rsidRPr="00D45495">
        <w:rPr>
          <w:rFonts w:cstheme="minorHAnsi"/>
          <w:sz w:val="20"/>
          <w:szCs w:val="20"/>
        </w:rPr>
        <w:t xml:space="preserve">exists for the prevention and relief of poverty and </w:t>
      </w:r>
      <w:r w:rsidR="00126062" w:rsidRPr="00D45495">
        <w:rPr>
          <w:rFonts w:cstheme="minorHAnsi"/>
          <w:sz w:val="20"/>
          <w:szCs w:val="20"/>
        </w:rPr>
        <w:t>hardship; it is a UK registered charity and a member of Advice UK</w:t>
      </w:r>
      <w:r w:rsidRPr="00D45495">
        <w:rPr>
          <w:rFonts w:cstheme="minorHAnsi"/>
          <w:sz w:val="20"/>
          <w:szCs w:val="20"/>
        </w:rPr>
        <w:t xml:space="preserve">. </w:t>
      </w:r>
      <w:r w:rsidR="008B595E">
        <w:rPr>
          <w:rFonts w:cstheme="minorHAnsi"/>
          <w:sz w:val="20"/>
          <w:szCs w:val="20"/>
        </w:rPr>
        <w:t xml:space="preserve">It provides a community café, with a range of activities to support community development and mutual support, </w:t>
      </w:r>
      <w:r w:rsidR="00EB5CFB">
        <w:rPr>
          <w:rFonts w:cstheme="minorHAnsi"/>
          <w:sz w:val="20"/>
          <w:szCs w:val="20"/>
        </w:rPr>
        <w:t>which operate in conjunction with</w:t>
      </w:r>
      <w:r w:rsidR="005F07F7">
        <w:rPr>
          <w:rFonts w:cstheme="minorHAnsi"/>
          <w:sz w:val="20"/>
          <w:szCs w:val="20"/>
        </w:rPr>
        <w:t xml:space="preserve"> benefits</w:t>
      </w:r>
      <w:r w:rsidR="008B595E">
        <w:rPr>
          <w:rFonts w:cstheme="minorHAnsi"/>
          <w:sz w:val="20"/>
          <w:szCs w:val="20"/>
        </w:rPr>
        <w:t xml:space="preserve"> advice sessions</w:t>
      </w:r>
      <w:r w:rsidR="00EB5CFB">
        <w:rPr>
          <w:rFonts w:cstheme="minorHAnsi"/>
          <w:sz w:val="20"/>
          <w:szCs w:val="20"/>
        </w:rPr>
        <w:t>, so that local people receive expert advice alongside compassionate community support and empowerment</w:t>
      </w:r>
      <w:r w:rsidR="008B595E">
        <w:rPr>
          <w:rFonts w:cstheme="minorHAnsi"/>
          <w:sz w:val="20"/>
          <w:szCs w:val="20"/>
        </w:rPr>
        <w:t xml:space="preserve">. It works in close partnership with other charities and with local churches. </w:t>
      </w:r>
      <w:r w:rsidR="005F07F7">
        <w:rPr>
          <w:rFonts w:cstheme="minorHAnsi"/>
          <w:sz w:val="20"/>
          <w:szCs w:val="20"/>
        </w:rPr>
        <w:t>We are excited to announce that we are looking to recruit a new welfare rights adviser to join our team.</w:t>
      </w:r>
    </w:p>
    <w:p w14:paraId="38BDD45D" w14:textId="1D3B7DD1" w:rsidR="000C6D66" w:rsidRPr="00D45495" w:rsidRDefault="00A71DA0" w:rsidP="00E43A1D">
      <w:pPr>
        <w:spacing w:after="240" w:line="240" w:lineRule="auto"/>
        <w:rPr>
          <w:rFonts w:cstheme="minorHAnsi"/>
          <w:sz w:val="20"/>
          <w:szCs w:val="20"/>
        </w:rPr>
      </w:pPr>
      <w:r w:rsidRPr="00D45495">
        <w:rPr>
          <w:rFonts w:cstheme="minorHAnsi"/>
          <w:b/>
          <w:bCs/>
          <w:sz w:val="20"/>
          <w:szCs w:val="20"/>
        </w:rPr>
        <w:t xml:space="preserve">Who we are looking for: </w:t>
      </w:r>
      <w:r w:rsidRPr="00D45495">
        <w:rPr>
          <w:rFonts w:cstheme="minorHAnsi"/>
          <w:sz w:val="20"/>
          <w:szCs w:val="20"/>
        </w:rPr>
        <w:t>We are seeking an</w:t>
      </w:r>
      <w:r w:rsidR="000C6D66" w:rsidRPr="00D45495">
        <w:rPr>
          <w:rFonts w:cstheme="minorHAnsi"/>
          <w:sz w:val="20"/>
          <w:szCs w:val="20"/>
        </w:rPr>
        <w:t xml:space="preserve"> individual who is experienced in charity sector work and is enthusiastic about building community and assisting people in hardship and poverty. The ideal candidate will have </w:t>
      </w:r>
      <w:r w:rsidR="005F07F7">
        <w:rPr>
          <w:rFonts w:cstheme="minorHAnsi"/>
          <w:sz w:val="20"/>
          <w:szCs w:val="20"/>
        </w:rPr>
        <w:t>had some experience</w:t>
      </w:r>
      <w:r w:rsidR="00E01E12">
        <w:rPr>
          <w:rFonts w:cstheme="minorHAnsi"/>
          <w:sz w:val="20"/>
          <w:szCs w:val="20"/>
        </w:rPr>
        <w:t xml:space="preserve"> in supporting vulnerable people</w:t>
      </w:r>
    </w:p>
    <w:p w14:paraId="5789F223" w14:textId="123A3368" w:rsidR="00E43A1D" w:rsidRPr="00D45495" w:rsidRDefault="00E6091D" w:rsidP="00E43A1D">
      <w:pPr>
        <w:spacing w:after="240" w:line="240" w:lineRule="auto"/>
        <w:rPr>
          <w:rFonts w:eastAsia="Times New Roman" w:cstheme="minorHAnsi"/>
          <w:sz w:val="20"/>
          <w:szCs w:val="20"/>
          <w:lang w:val="en-US"/>
        </w:rPr>
      </w:pPr>
      <w:r w:rsidRPr="00D45495">
        <w:rPr>
          <w:rFonts w:cstheme="minorHAnsi"/>
          <w:sz w:val="20"/>
          <w:szCs w:val="20"/>
        </w:rPr>
        <w:t xml:space="preserve">The successful candidate will need to be </w:t>
      </w:r>
      <w:r w:rsidRPr="00D45495">
        <w:rPr>
          <w:rFonts w:eastAsia="Times New Roman" w:cstheme="minorHAnsi"/>
          <w:sz w:val="20"/>
          <w:szCs w:val="20"/>
          <w:lang w:val="en-US"/>
        </w:rPr>
        <w:t xml:space="preserve">self-motivated, </w:t>
      </w:r>
      <w:r w:rsidR="00E4216A" w:rsidRPr="00D45495">
        <w:rPr>
          <w:rFonts w:eastAsia="Times New Roman" w:cstheme="minorHAnsi"/>
          <w:sz w:val="20"/>
          <w:szCs w:val="20"/>
          <w:lang w:val="en-US"/>
        </w:rPr>
        <w:t>dynamic</w:t>
      </w:r>
      <w:r w:rsidRPr="00D45495">
        <w:rPr>
          <w:rFonts w:eastAsia="Times New Roman" w:cstheme="minorHAnsi"/>
          <w:sz w:val="20"/>
          <w:szCs w:val="20"/>
          <w:lang w:val="en-US"/>
        </w:rPr>
        <w:t xml:space="preserve"> and enj</w:t>
      </w:r>
      <w:r w:rsidR="000B4A8A">
        <w:rPr>
          <w:rFonts w:eastAsia="Times New Roman" w:cstheme="minorHAnsi"/>
          <w:sz w:val="20"/>
          <w:szCs w:val="20"/>
          <w:lang w:val="en-US"/>
        </w:rPr>
        <w:t>oy working with people.</w:t>
      </w:r>
      <w:r w:rsidR="000C6D66" w:rsidRPr="00D45495">
        <w:rPr>
          <w:rFonts w:eastAsia="Times New Roman" w:cstheme="minorHAnsi"/>
          <w:sz w:val="20"/>
          <w:szCs w:val="20"/>
          <w:lang w:val="en-US"/>
        </w:rPr>
        <w:t xml:space="preserve"> </w:t>
      </w:r>
      <w:r w:rsidR="0039316F" w:rsidRPr="00D45495">
        <w:rPr>
          <w:rFonts w:eastAsia="Times New Roman" w:cstheme="minorHAnsi"/>
          <w:sz w:val="20"/>
          <w:szCs w:val="20"/>
          <w:lang w:val="en-US"/>
        </w:rPr>
        <w:t xml:space="preserve">They will have a high level of English language skills both written and oral and will be a good listener able to </w:t>
      </w:r>
      <w:r w:rsidR="007E3523" w:rsidRPr="00D45495">
        <w:rPr>
          <w:rFonts w:eastAsia="Times New Roman" w:cstheme="minorHAnsi"/>
          <w:sz w:val="20"/>
          <w:szCs w:val="20"/>
          <w:lang w:val="en-US"/>
        </w:rPr>
        <w:t>empathize</w:t>
      </w:r>
      <w:r w:rsidR="0039316F" w:rsidRPr="00D45495">
        <w:rPr>
          <w:rFonts w:eastAsia="Times New Roman" w:cstheme="minorHAnsi"/>
          <w:sz w:val="20"/>
          <w:szCs w:val="20"/>
          <w:lang w:val="en-US"/>
        </w:rPr>
        <w:t xml:space="preserve"> with people in distress.</w:t>
      </w:r>
      <w:r w:rsidR="00126062" w:rsidRPr="00D45495">
        <w:rPr>
          <w:rFonts w:eastAsia="Times New Roman" w:cstheme="minorHAnsi"/>
          <w:sz w:val="20"/>
          <w:szCs w:val="20"/>
          <w:lang w:val="en-US"/>
        </w:rPr>
        <w:t xml:space="preserve"> </w:t>
      </w:r>
    </w:p>
    <w:p w14:paraId="2DA44239" w14:textId="4967D732" w:rsidR="00176C5A" w:rsidRDefault="000C6D66" w:rsidP="00211E7E">
      <w:pPr>
        <w:rPr>
          <w:rFonts w:cstheme="minorHAnsi"/>
          <w:b/>
          <w:bCs/>
          <w:sz w:val="20"/>
          <w:szCs w:val="20"/>
        </w:rPr>
      </w:pPr>
      <w:r w:rsidRPr="00D45495">
        <w:rPr>
          <w:rFonts w:cstheme="minorHAnsi"/>
          <w:b/>
          <w:bCs/>
          <w:sz w:val="20"/>
          <w:szCs w:val="20"/>
        </w:rPr>
        <w:t>Responsibilities</w:t>
      </w:r>
      <w:r w:rsidR="0004729E" w:rsidRPr="00D45495">
        <w:rPr>
          <w:rFonts w:cstheme="minorHAnsi"/>
          <w:b/>
          <w:bCs/>
          <w:sz w:val="20"/>
          <w:szCs w:val="20"/>
        </w:rPr>
        <w:t xml:space="preserve"> </w:t>
      </w:r>
      <w:r w:rsidRPr="00D45495">
        <w:rPr>
          <w:rFonts w:cstheme="minorHAnsi"/>
          <w:b/>
          <w:bCs/>
          <w:sz w:val="20"/>
          <w:szCs w:val="20"/>
        </w:rPr>
        <w:t>i</w:t>
      </w:r>
      <w:r w:rsidR="0004729E" w:rsidRPr="00D45495">
        <w:rPr>
          <w:rFonts w:cstheme="minorHAnsi"/>
          <w:b/>
          <w:bCs/>
          <w:sz w:val="20"/>
          <w:szCs w:val="20"/>
        </w:rPr>
        <w:t>nclude:</w:t>
      </w:r>
    </w:p>
    <w:p w14:paraId="68040606" w14:textId="17C5EFC5" w:rsidR="000F6756" w:rsidRDefault="0089767F" w:rsidP="0089767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Benefits Advice</w:t>
      </w:r>
      <w:r w:rsidR="00F55C6C">
        <w:rPr>
          <w:rFonts w:cstheme="minorHAnsi"/>
          <w:b/>
          <w:bCs/>
          <w:sz w:val="20"/>
          <w:szCs w:val="20"/>
        </w:rPr>
        <w:t xml:space="preserve"> and Income Maximisation</w:t>
      </w:r>
    </w:p>
    <w:p w14:paraId="0AC7BCC8" w14:textId="7476A776" w:rsidR="00814C4F" w:rsidRPr="00FD4F7B" w:rsidRDefault="00814C4F" w:rsidP="00814C4F">
      <w:pPr>
        <w:pStyle w:val="Header"/>
        <w:numPr>
          <w:ilvl w:val="0"/>
          <w:numId w:val="26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D4F7B">
        <w:rPr>
          <w:rFonts w:asciiTheme="minorHAnsi" w:hAnsiTheme="minorHAnsi" w:cstheme="minorHAnsi"/>
          <w:sz w:val="20"/>
          <w:szCs w:val="20"/>
        </w:rPr>
        <w:t xml:space="preserve">To work with our Senior Adviser to deliver </w:t>
      </w:r>
      <w:r w:rsidRPr="00FD4F7B">
        <w:rPr>
          <w:rFonts w:asciiTheme="minorHAnsi" w:hAnsiTheme="minorHAnsi" w:cstheme="minorHAnsi"/>
          <w:sz w:val="20"/>
          <w:szCs w:val="20"/>
          <w:lang w:val="en-GB"/>
        </w:rPr>
        <w:t>services</w:t>
      </w:r>
      <w:r w:rsidRPr="00FD4F7B">
        <w:rPr>
          <w:rFonts w:asciiTheme="minorHAnsi" w:hAnsiTheme="minorHAnsi" w:cstheme="minorHAnsi"/>
          <w:sz w:val="20"/>
          <w:szCs w:val="20"/>
        </w:rPr>
        <w:t xml:space="preserve"> addressing welfare benefits, financial literacy and wellbeing.</w:t>
      </w:r>
    </w:p>
    <w:p w14:paraId="26576058" w14:textId="64CDBAB7" w:rsidR="00C316B0" w:rsidRPr="00FD4F7B" w:rsidRDefault="00C316B0" w:rsidP="00C316B0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sz w:val="20"/>
          <w:szCs w:val="20"/>
        </w:rPr>
      </w:pPr>
      <w:r w:rsidRPr="00FD4F7B">
        <w:rPr>
          <w:rFonts w:cstheme="minorHAnsi"/>
          <w:sz w:val="20"/>
          <w:szCs w:val="20"/>
        </w:rPr>
        <w:t xml:space="preserve">To ensure that services are geared to meet the needs of individuals across the locality and that steps are taken to ensure those needs are understood. </w:t>
      </w:r>
    </w:p>
    <w:p w14:paraId="1D91E048" w14:textId="02CE2A7E" w:rsidR="00CC1226" w:rsidRPr="00FD4F7B" w:rsidRDefault="00CC1226" w:rsidP="00CC1226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sz w:val="20"/>
          <w:szCs w:val="20"/>
        </w:rPr>
      </w:pPr>
      <w:r w:rsidRPr="00FD4F7B">
        <w:rPr>
          <w:rFonts w:cstheme="minorHAnsi"/>
          <w:sz w:val="20"/>
          <w:szCs w:val="20"/>
        </w:rPr>
        <w:t xml:space="preserve">To deliver high quality welfare benefit advice to individuals and groups. </w:t>
      </w:r>
    </w:p>
    <w:p w14:paraId="49463819" w14:textId="1E5C3124" w:rsidR="00556051" w:rsidRPr="00FD4F7B" w:rsidRDefault="00556051" w:rsidP="00556051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sz w:val="20"/>
          <w:szCs w:val="20"/>
        </w:rPr>
      </w:pPr>
      <w:r w:rsidRPr="00FD4F7B">
        <w:rPr>
          <w:rFonts w:cstheme="minorHAnsi"/>
          <w:sz w:val="20"/>
          <w:szCs w:val="20"/>
        </w:rPr>
        <w:t xml:space="preserve">To ensure exploration of income maximisation through benefit entitlement checks and appropriate signposting/referral for specialist welfare benefit advice and support. </w:t>
      </w:r>
    </w:p>
    <w:p w14:paraId="33F481C9" w14:textId="2E58DA6D" w:rsidR="0089767F" w:rsidRDefault="00F55C6C" w:rsidP="00F55C6C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sz w:val="20"/>
          <w:szCs w:val="20"/>
        </w:rPr>
      </w:pPr>
      <w:r w:rsidRPr="00FD4F7B">
        <w:rPr>
          <w:rFonts w:cstheme="minorHAnsi"/>
          <w:sz w:val="20"/>
          <w:szCs w:val="20"/>
        </w:rPr>
        <w:t>To deliver a benefits advice service through outreaches, e.g., food bank, as and when required.</w:t>
      </w:r>
    </w:p>
    <w:p w14:paraId="2A26607A" w14:textId="5DE27E0A" w:rsidR="00DD2B56" w:rsidRPr="00FD4F7B" w:rsidRDefault="00DD2B56" w:rsidP="00F55C6C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Manage own time and appointments for advice.</w:t>
      </w:r>
    </w:p>
    <w:p w14:paraId="5A049BAF" w14:textId="77777777" w:rsidR="00F55C6C" w:rsidRPr="00F55C6C" w:rsidRDefault="00F55C6C" w:rsidP="00F55C6C">
      <w:pPr>
        <w:spacing w:after="0" w:line="276" w:lineRule="auto"/>
      </w:pPr>
    </w:p>
    <w:p w14:paraId="6ADA870E" w14:textId="6EFC7CF4" w:rsidR="00344685" w:rsidRPr="00344685" w:rsidRDefault="007B06CE" w:rsidP="00344685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Reporting</w:t>
      </w:r>
    </w:p>
    <w:p w14:paraId="1C1C7358" w14:textId="58AF78EF" w:rsidR="000F6756" w:rsidRDefault="007B06CE" w:rsidP="000F6756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Contribute to reports highlighting the impact of our advice work to </w:t>
      </w:r>
      <w:r w:rsidR="00184B75">
        <w:rPr>
          <w:sz w:val="20"/>
          <w:szCs w:val="20"/>
        </w:rPr>
        <w:t xml:space="preserve">centre manager, </w:t>
      </w:r>
      <w:r w:rsidR="00EE2D2E">
        <w:rPr>
          <w:sz w:val="20"/>
          <w:szCs w:val="20"/>
        </w:rPr>
        <w:t xml:space="preserve">trustees, </w:t>
      </w:r>
      <w:r w:rsidR="00012821">
        <w:rPr>
          <w:sz w:val="20"/>
          <w:szCs w:val="20"/>
        </w:rPr>
        <w:t>grant funders and partners</w:t>
      </w:r>
      <w:r w:rsidR="009939DC">
        <w:rPr>
          <w:sz w:val="20"/>
          <w:szCs w:val="20"/>
        </w:rPr>
        <w:t>, e.g., the local food bank.</w:t>
      </w:r>
    </w:p>
    <w:p w14:paraId="0FBB77A6" w14:textId="73135890" w:rsidR="00012821" w:rsidRDefault="00D856B3" w:rsidP="00D856B3">
      <w:pPr>
        <w:pStyle w:val="ListParagraph"/>
        <w:numPr>
          <w:ilvl w:val="0"/>
          <w:numId w:val="21"/>
        </w:numPr>
        <w:spacing w:after="0" w:line="276" w:lineRule="auto"/>
        <w:rPr>
          <w:rFonts w:cstheme="minorHAnsi"/>
          <w:sz w:val="20"/>
          <w:szCs w:val="20"/>
        </w:rPr>
      </w:pPr>
      <w:r w:rsidRPr="00FD4F7B">
        <w:rPr>
          <w:rFonts w:cstheme="minorHAnsi"/>
          <w:sz w:val="20"/>
          <w:szCs w:val="20"/>
        </w:rPr>
        <w:t>To carry and manage own caseload, opening/closing cases appropriately.</w:t>
      </w:r>
    </w:p>
    <w:p w14:paraId="5ED9C36D" w14:textId="6EA6B185" w:rsidR="00D856B3" w:rsidRDefault="00D856B3" w:rsidP="00D856B3">
      <w:pPr>
        <w:pStyle w:val="ListParagraph"/>
        <w:numPr>
          <w:ilvl w:val="0"/>
          <w:numId w:val="21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Ensure that Advice Pro is kept up to date.</w:t>
      </w:r>
    </w:p>
    <w:p w14:paraId="09D61E18" w14:textId="66CA9513" w:rsidR="00CF37FE" w:rsidRPr="00EE2D2E" w:rsidRDefault="00CF37FE" w:rsidP="00184B75">
      <w:pPr>
        <w:pStyle w:val="ListParagraph"/>
        <w:numPr>
          <w:ilvl w:val="0"/>
          <w:numId w:val="21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Refer people to specialist services and support from Senior Adviser as/when complex cases arise.</w:t>
      </w:r>
    </w:p>
    <w:p w14:paraId="40EE03FA" w14:textId="77777777" w:rsidR="00CF37FE" w:rsidRDefault="00CF37FE" w:rsidP="005632CD">
      <w:pPr>
        <w:spacing w:after="200" w:line="276" w:lineRule="auto"/>
        <w:rPr>
          <w:b/>
          <w:bCs/>
          <w:sz w:val="20"/>
          <w:szCs w:val="20"/>
        </w:rPr>
      </w:pPr>
    </w:p>
    <w:p w14:paraId="76D23E23" w14:textId="6372A9EE" w:rsidR="000C6D66" w:rsidRPr="005632CD" w:rsidRDefault="001C3D90" w:rsidP="005632CD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Volunteer Support</w:t>
      </w:r>
    </w:p>
    <w:p w14:paraId="6065E6CB" w14:textId="454A848E" w:rsidR="005632CD" w:rsidRDefault="001C3D90" w:rsidP="005632CD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Assist in supervising </w:t>
      </w:r>
      <w:r w:rsidR="00BA232E">
        <w:rPr>
          <w:sz w:val="20"/>
          <w:szCs w:val="20"/>
        </w:rPr>
        <w:t xml:space="preserve">specialist volunteers that help </w:t>
      </w:r>
      <w:r w:rsidR="00F9551D">
        <w:rPr>
          <w:sz w:val="20"/>
          <w:szCs w:val="20"/>
        </w:rPr>
        <w:t>oversee blue badge applications and triage support.</w:t>
      </w:r>
    </w:p>
    <w:p w14:paraId="59669595" w14:textId="657F3E6C" w:rsidR="00D856B3" w:rsidRDefault="00D856B3" w:rsidP="005632CD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Liaise with volunteers </w:t>
      </w:r>
      <w:r w:rsidR="00CF37FE">
        <w:rPr>
          <w:sz w:val="20"/>
          <w:szCs w:val="20"/>
        </w:rPr>
        <w:t xml:space="preserve">when </w:t>
      </w:r>
      <w:r w:rsidR="00DD2B56">
        <w:rPr>
          <w:sz w:val="20"/>
          <w:szCs w:val="20"/>
        </w:rPr>
        <w:t>people request appointments for advice.</w:t>
      </w:r>
    </w:p>
    <w:p w14:paraId="6E02CC68" w14:textId="2CA8932E" w:rsidR="00F9551D" w:rsidRPr="005632CD" w:rsidRDefault="00F9551D" w:rsidP="005632CD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Be available to connect with our wider volunteer team and visitors to The Ark.</w:t>
      </w:r>
    </w:p>
    <w:p w14:paraId="07F783C5" w14:textId="31EE1297" w:rsidR="00FB5673" w:rsidRPr="00FB5673" w:rsidRDefault="00FB5673" w:rsidP="00FB5673">
      <w:pPr>
        <w:rPr>
          <w:sz w:val="20"/>
          <w:szCs w:val="20"/>
        </w:rPr>
      </w:pPr>
    </w:p>
    <w:p w14:paraId="33CDC944" w14:textId="77777777" w:rsidR="00D45495" w:rsidRDefault="00D45495" w:rsidP="00D96BA0">
      <w:pPr>
        <w:rPr>
          <w:b/>
          <w:sz w:val="20"/>
          <w:szCs w:val="20"/>
        </w:rPr>
      </w:pPr>
      <w:r w:rsidRPr="00D96BA0">
        <w:rPr>
          <w:b/>
          <w:sz w:val="20"/>
          <w:szCs w:val="20"/>
        </w:rPr>
        <w:t>Personal Qualities and Skills</w:t>
      </w:r>
    </w:p>
    <w:p w14:paraId="0478B29E" w14:textId="560490C1" w:rsidR="00323E9A" w:rsidRDefault="00D9573D" w:rsidP="00D96BA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E – Essential</w:t>
      </w:r>
    </w:p>
    <w:p w14:paraId="2F56F952" w14:textId="5658281F" w:rsidR="00D9573D" w:rsidRPr="00FB5673" w:rsidRDefault="00D9573D" w:rsidP="00D96BA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 – Desirable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084"/>
        <w:gridCol w:w="3081"/>
      </w:tblGrid>
      <w:tr w:rsidR="00D45495" w:rsidRPr="00D45495" w14:paraId="28DDB6D8" w14:textId="77777777" w:rsidTr="00241311">
        <w:tc>
          <w:tcPr>
            <w:tcW w:w="4077" w:type="dxa"/>
          </w:tcPr>
          <w:p w14:paraId="4D401098" w14:textId="304227B0" w:rsidR="0048648F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Enjoys working in a lively, informal community setting</w:t>
            </w:r>
          </w:p>
          <w:p w14:paraId="62074179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6AC01584" w14:textId="7BF28B33" w:rsidR="0048648F" w:rsidRPr="00D45495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build positive relationships</w:t>
            </w:r>
            <w:r w:rsidR="000F7409">
              <w:rPr>
                <w:sz w:val="20"/>
                <w:szCs w:val="20"/>
              </w:rPr>
              <w:t xml:space="preserve"> and empathise with people’s circumstances</w:t>
            </w:r>
          </w:p>
          <w:p w14:paraId="093B64EF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6CD9C5F9" w14:textId="294769C5" w:rsidR="0048648F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Self-motivated and able to take own initiative</w:t>
            </w:r>
          </w:p>
          <w:p w14:paraId="6C7973EE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5CB15ADE" w14:textId="74028DB4" w:rsidR="006F5575" w:rsidRDefault="006F5575" w:rsidP="0048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knowledge of the welfare benefits</w:t>
            </w:r>
          </w:p>
          <w:p w14:paraId="2F76638D" w14:textId="77777777" w:rsidR="006F5575" w:rsidRDefault="006F5575" w:rsidP="0048648F">
            <w:pPr>
              <w:rPr>
                <w:sz w:val="20"/>
                <w:szCs w:val="20"/>
              </w:rPr>
            </w:pPr>
          </w:p>
          <w:p w14:paraId="06054BE8" w14:textId="77777777" w:rsidR="006F5575" w:rsidRDefault="006F5575" w:rsidP="0048648F">
            <w:pPr>
              <w:rPr>
                <w:sz w:val="20"/>
                <w:szCs w:val="20"/>
              </w:rPr>
            </w:pPr>
          </w:p>
          <w:p w14:paraId="1E79D29A" w14:textId="6BD5D97C" w:rsidR="0048648F" w:rsidRDefault="000F7409" w:rsidP="0048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</w:t>
            </w:r>
            <w:r w:rsidR="007733BE">
              <w:rPr>
                <w:sz w:val="20"/>
                <w:szCs w:val="20"/>
              </w:rPr>
              <w:t>good boundaries on what they can/cannot do in their role</w:t>
            </w:r>
          </w:p>
          <w:p w14:paraId="56B45B99" w14:textId="77777777" w:rsidR="0048648F" w:rsidRPr="00D45495" w:rsidRDefault="0048648F" w:rsidP="0048648F">
            <w:pPr>
              <w:rPr>
                <w:sz w:val="20"/>
                <w:szCs w:val="20"/>
              </w:rPr>
            </w:pPr>
          </w:p>
          <w:p w14:paraId="23D3DD44" w14:textId="4ED89989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C</w:t>
            </w:r>
            <w:r w:rsidR="0048648F">
              <w:rPr>
                <w:sz w:val="20"/>
                <w:szCs w:val="20"/>
              </w:rPr>
              <w:t>ommunity and customer</w:t>
            </w:r>
            <w:r w:rsidRPr="00D45495">
              <w:rPr>
                <w:sz w:val="20"/>
                <w:szCs w:val="20"/>
              </w:rPr>
              <w:t xml:space="preserve"> focused</w:t>
            </w:r>
          </w:p>
          <w:p w14:paraId="77DF9DA5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560CE0F0" w14:textId="18E27BFD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Ability to prioritise</w:t>
            </w:r>
          </w:p>
          <w:p w14:paraId="603F67FE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7B8571E2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Ability to work co-operatively with others and gain the trust and respect of colleagues</w:t>
            </w:r>
          </w:p>
          <w:p w14:paraId="5FAB9AC5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555D57D9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Willingness to undertake job related training</w:t>
            </w:r>
          </w:p>
          <w:p w14:paraId="7CF40424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384FD636" w14:textId="77777777" w:rsid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Ability to maintain confidentiality</w:t>
            </w:r>
          </w:p>
          <w:p w14:paraId="0B22DCA5" w14:textId="77777777" w:rsidR="003015EA" w:rsidRDefault="003015EA" w:rsidP="00241311">
            <w:pPr>
              <w:rPr>
                <w:sz w:val="20"/>
                <w:szCs w:val="20"/>
              </w:rPr>
            </w:pPr>
          </w:p>
          <w:p w14:paraId="0EA9F43D" w14:textId="19C88DCB" w:rsidR="00D45495" w:rsidRPr="00D45495" w:rsidRDefault="003015EA" w:rsidP="004F2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with Microsoft office</w:t>
            </w:r>
          </w:p>
        </w:tc>
        <w:tc>
          <w:tcPr>
            <w:tcW w:w="2084" w:type="dxa"/>
          </w:tcPr>
          <w:p w14:paraId="778FD8DB" w14:textId="77777777" w:rsidR="00D45495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01C7B4F8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0356FFE2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37696834" w14:textId="63E01779" w:rsidR="0065064A" w:rsidRDefault="000F7409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6C436259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3651BC37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39748723" w14:textId="16781A95" w:rsidR="0065064A" w:rsidRDefault="000F7409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797CDDA6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5FAE0B4D" w14:textId="77777777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68FD6380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002AD30D" w14:textId="77777777" w:rsidR="007733BE" w:rsidRDefault="007733BE" w:rsidP="00241311">
            <w:pPr>
              <w:rPr>
                <w:sz w:val="20"/>
                <w:szCs w:val="20"/>
              </w:rPr>
            </w:pPr>
          </w:p>
          <w:p w14:paraId="2AEB2E1C" w14:textId="2C66D5F5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1C75EC58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4568C4C4" w14:textId="236443FD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503BC2E7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3CF722A7" w14:textId="77777777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43A8C88B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66EA0ED9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43CA6F7B" w14:textId="137F3549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53B05A65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058062B7" w14:textId="77777777" w:rsidR="003015EA" w:rsidRDefault="003015EA" w:rsidP="00241311">
            <w:pPr>
              <w:rPr>
                <w:sz w:val="20"/>
                <w:szCs w:val="20"/>
              </w:rPr>
            </w:pPr>
          </w:p>
          <w:p w14:paraId="7483FFFE" w14:textId="5F7E25E3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41B2B87A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5B794C40" w14:textId="77777777" w:rsidR="0065064A" w:rsidRDefault="003015EA" w:rsidP="006F5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5A6CFBFE" w14:textId="77777777" w:rsidR="003015EA" w:rsidRDefault="003015EA" w:rsidP="006F5575">
            <w:pPr>
              <w:rPr>
                <w:sz w:val="20"/>
                <w:szCs w:val="20"/>
              </w:rPr>
            </w:pPr>
          </w:p>
          <w:p w14:paraId="0D445CE9" w14:textId="77777777" w:rsidR="003015EA" w:rsidRDefault="003015EA" w:rsidP="006F5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13085D55" w14:textId="77777777" w:rsidR="00E8277E" w:rsidRDefault="00E8277E" w:rsidP="006F5575">
            <w:pPr>
              <w:rPr>
                <w:sz w:val="20"/>
                <w:szCs w:val="20"/>
              </w:rPr>
            </w:pPr>
          </w:p>
          <w:p w14:paraId="290B7FC2" w14:textId="623AF7A8" w:rsidR="00E8277E" w:rsidRPr="00D45495" w:rsidRDefault="00E8277E" w:rsidP="006F5575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14:paraId="393106C6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Application/Interview</w:t>
            </w:r>
          </w:p>
        </w:tc>
      </w:tr>
    </w:tbl>
    <w:p w14:paraId="50E31C9E" w14:textId="77777777" w:rsidR="00D45495" w:rsidRPr="00D45495" w:rsidRDefault="00D45495" w:rsidP="0004729E">
      <w:pPr>
        <w:rPr>
          <w:rFonts w:cstheme="minorHAnsi"/>
          <w:b/>
          <w:bCs/>
          <w:sz w:val="20"/>
          <w:szCs w:val="20"/>
        </w:rPr>
      </w:pPr>
    </w:p>
    <w:p w14:paraId="3CBDC1C5" w14:textId="77777777" w:rsidR="00D45495" w:rsidRPr="00D45495" w:rsidRDefault="00D45495" w:rsidP="00D45495">
      <w:pPr>
        <w:rPr>
          <w:b/>
          <w:sz w:val="20"/>
          <w:szCs w:val="20"/>
        </w:rPr>
      </w:pPr>
      <w:r w:rsidRPr="00D45495">
        <w:rPr>
          <w:b/>
          <w:sz w:val="20"/>
          <w:szCs w:val="20"/>
        </w:rPr>
        <w:t>Relevant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084"/>
        <w:gridCol w:w="3081"/>
      </w:tblGrid>
      <w:tr w:rsidR="00D45495" w:rsidRPr="00D45495" w14:paraId="1A31B401" w14:textId="77777777" w:rsidTr="00241311">
        <w:tc>
          <w:tcPr>
            <w:tcW w:w="4077" w:type="dxa"/>
          </w:tcPr>
          <w:p w14:paraId="56BF864B" w14:textId="7989412F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Experience of </w:t>
            </w:r>
            <w:r w:rsidR="00427AA5">
              <w:rPr>
                <w:sz w:val="20"/>
                <w:szCs w:val="20"/>
              </w:rPr>
              <w:t>delivering benefits advice</w:t>
            </w:r>
          </w:p>
          <w:p w14:paraId="0C8FE263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41F35E76" w14:textId="77777777" w:rsidR="00427AA5" w:rsidRDefault="00427AA5" w:rsidP="00241311">
            <w:pPr>
              <w:rPr>
                <w:sz w:val="20"/>
                <w:szCs w:val="20"/>
              </w:rPr>
            </w:pPr>
          </w:p>
          <w:p w14:paraId="2382FFA9" w14:textId="1923E29E" w:rsidR="00D45495" w:rsidRDefault="00EF0DCB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using AdvicePro</w:t>
            </w:r>
          </w:p>
          <w:p w14:paraId="787DC4F8" w14:textId="77777777" w:rsidR="00C07304" w:rsidRDefault="00C07304" w:rsidP="00241311">
            <w:pPr>
              <w:rPr>
                <w:sz w:val="20"/>
                <w:szCs w:val="20"/>
              </w:rPr>
            </w:pPr>
          </w:p>
          <w:p w14:paraId="35D47D1D" w14:textId="77777777" w:rsidR="007325A4" w:rsidRDefault="007325A4" w:rsidP="00241311">
            <w:pPr>
              <w:rPr>
                <w:sz w:val="20"/>
                <w:szCs w:val="20"/>
              </w:rPr>
            </w:pPr>
          </w:p>
          <w:p w14:paraId="43158A60" w14:textId="77777777" w:rsidR="00C07304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managing volunteers</w:t>
            </w:r>
          </w:p>
          <w:p w14:paraId="06EC9C1A" w14:textId="0574AA22" w:rsidR="00EF0DCB" w:rsidRPr="00D45495" w:rsidRDefault="00EF0DCB" w:rsidP="0024131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3E2D4466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lastRenderedPageBreak/>
              <w:t>E</w:t>
            </w:r>
          </w:p>
          <w:p w14:paraId="69A5C44F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176900F0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3AF42394" w14:textId="383B4312" w:rsidR="00D45495" w:rsidRDefault="00EF0DCB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14:paraId="4B96DE2A" w14:textId="77777777" w:rsidR="00C07304" w:rsidRDefault="00C07304" w:rsidP="00241311">
            <w:pPr>
              <w:rPr>
                <w:sz w:val="20"/>
                <w:szCs w:val="20"/>
              </w:rPr>
            </w:pPr>
          </w:p>
          <w:p w14:paraId="4DD1A1CD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3255C2CB" w14:textId="7E39250A" w:rsidR="00EF0DCB" w:rsidRPr="00D45495" w:rsidRDefault="00EF0DCB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081" w:type="dxa"/>
          </w:tcPr>
          <w:p w14:paraId="1F1EA3CA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lastRenderedPageBreak/>
              <w:t>Application/Evidence</w:t>
            </w:r>
          </w:p>
          <w:p w14:paraId="757E3F24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07494237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283AE00E" w14:textId="77777777" w:rsid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Application/Evidence</w:t>
            </w:r>
          </w:p>
          <w:p w14:paraId="53E22E41" w14:textId="77777777" w:rsidR="00C07304" w:rsidRDefault="00C07304" w:rsidP="00241311">
            <w:pPr>
              <w:rPr>
                <w:sz w:val="20"/>
                <w:szCs w:val="20"/>
              </w:rPr>
            </w:pPr>
          </w:p>
          <w:p w14:paraId="385A2539" w14:textId="77777777" w:rsidR="00C07304" w:rsidRDefault="00C07304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Application/Evidence</w:t>
            </w:r>
          </w:p>
          <w:p w14:paraId="034D8AC3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00A5F984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207DEE75" w14:textId="484D9421" w:rsidR="007325A4" w:rsidRPr="00D45495" w:rsidRDefault="007325A4" w:rsidP="00241311">
            <w:pPr>
              <w:rPr>
                <w:sz w:val="20"/>
                <w:szCs w:val="20"/>
              </w:rPr>
            </w:pPr>
          </w:p>
        </w:tc>
      </w:tr>
    </w:tbl>
    <w:p w14:paraId="5F19B890" w14:textId="1CE24609" w:rsidR="0004729E" w:rsidRPr="00D45495" w:rsidRDefault="0004729E" w:rsidP="0004729E">
      <w:pPr>
        <w:rPr>
          <w:rFonts w:cstheme="minorHAnsi"/>
          <w:b/>
          <w:bCs/>
          <w:sz w:val="20"/>
          <w:szCs w:val="20"/>
        </w:rPr>
      </w:pPr>
      <w:r w:rsidRPr="00D45495">
        <w:rPr>
          <w:rFonts w:cstheme="minorHAnsi"/>
          <w:b/>
          <w:bCs/>
          <w:sz w:val="20"/>
          <w:szCs w:val="20"/>
        </w:rPr>
        <w:lastRenderedPageBreak/>
        <w:t>Qualifications:</w:t>
      </w:r>
    </w:p>
    <w:p w14:paraId="3584DB82" w14:textId="6AFDDA8B" w:rsidR="00F322F0" w:rsidRPr="00D45495" w:rsidRDefault="00A71DA0" w:rsidP="0004729E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 xml:space="preserve">Essential: </w:t>
      </w:r>
      <w:r w:rsidR="001C1540" w:rsidRPr="00D45495">
        <w:rPr>
          <w:rFonts w:cstheme="minorHAnsi"/>
          <w:sz w:val="20"/>
          <w:szCs w:val="20"/>
        </w:rPr>
        <w:t>GCSE or equivalent qualifications in Maths and English – Grade C and above.</w:t>
      </w:r>
    </w:p>
    <w:p w14:paraId="1743A652" w14:textId="1976B5B2" w:rsidR="00A71DA0" w:rsidRDefault="00A71DA0" w:rsidP="0004729E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 xml:space="preserve">Desirable: </w:t>
      </w:r>
      <w:r w:rsidR="0065064A">
        <w:rPr>
          <w:rFonts w:cstheme="minorHAnsi"/>
          <w:sz w:val="20"/>
          <w:szCs w:val="20"/>
        </w:rPr>
        <w:t>A Levels or degree level qualifications.</w:t>
      </w:r>
    </w:p>
    <w:p w14:paraId="32AC44F3" w14:textId="72068B77" w:rsidR="0015123F" w:rsidRPr="00D45495" w:rsidRDefault="0015123F" w:rsidP="0004729E">
      <w:pPr>
        <w:rPr>
          <w:rFonts w:cstheme="minorHAnsi"/>
          <w:b/>
          <w:bCs/>
          <w:sz w:val="20"/>
          <w:szCs w:val="20"/>
        </w:rPr>
      </w:pPr>
      <w:r w:rsidRPr="00D45495">
        <w:rPr>
          <w:rFonts w:cstheme="minorHAnsi"/>
          <w:b/>
          <w:bCs/>
          <w:sz w:val="20"/>
          <w:szCs w:val="20"/>
        </w:rPr>
        <w:t>Safeguarding:</w:t>
      </w:r>
    </w:p>
    <w:p w14:paraId="00214E71" w14:textId="39D35A0C" w:rsidR="0015123F" w:rsidRPr="00D45495" w:rsidRDefault="0015123F" w:rsidP="0004729E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>A satisfactory enhanced Disclosure and Barring Service (DBS) check will be a requirement once a conditional offer of employment is made to successful candidates.</w:t>
      </w:r>
    </w:p>
    <w:p w14:paraId="1D43BAC7" w14:textId="38F5B926" w:rsidR="00B540D0" w:rsidRPr="00D45495" w:rsidRDefault="00B540D0" w:rsidP="00B540D0">
      <w:pPr>
        <w:rPr>
          <w:rFonts w:cstheme="minorHAnsi"/>
          <w:b/>
          <w:bCs/>
          <w:sz w:val="20"/>
          <w:szCs w:val="20"/>
        </w:rPr>
      </w:pPr>
      <w:r w:rsidRPr="00D45495">
        <w:rPr>
          <w:rFonts w:cstheme="minorHAnsi"/>
          <w:b/>
          <w:bCs/>
          <w:sz w:val="20"/>
          <w:szCs w:val="20"/>
        </w:rPr>
        <w:t xml:space="preserve">How to apply: </w:t>
      </w:r>
    </w:p>
    <w:p w14:paraId="7082873B" w14:textId="124B22C0" w:rsidR="001C1540" w:rsidRPr="00D45495" w:rsidRDefault="006F55CD" w:rsidP="00BA1041">
      <w:pPr>
        <w:rPr>
          <w:rFonts w:cstheme="minorHAnsi"/>
          <w:color w:val="00B0F0"/>
          <w:sz w:val="20"/>
          <w:szCs w:val="20"/>
        </w:rPr>
      </w:pPr>
      <w:r w:rsidRPr="00D45495">
        <w:rPr>
          <w:rFonts w:cstheme="minorHAnsi"/>
          <w:sz w:val="20"/>
          <w:szCs w:val="20"/>
        </w:rPr>
        <w:t xml:space="preserve">Please </w:t>
      </w:r>
      <w:r w:rsidR="001C1540" w:rsidRPr="00D45495">
        <w:rPr>
          <w:rFonts w:cstheme="minorHAnsi"/>
          <w:sz w:val="20"/>
          <w:szCs w:val="20"/>
        </w:rPr>
        <w:t xml:space="preserve">send </w:t>
      </w:r>
      <w:r w:rsidR="005607F9">
        <w:rPr>
          <w:rFonts w:cstheme="minorHAnsi"/>
          <w:sz w:val="20"/>
          <w:szCs w:val="20"/>
        </w:rPr>
        <w:t>your</w:t>
      </w:r>
      <w:r w:rsidR="001C1540" w:rsidRPr="00D45495">
        <w:rPr>
          <w:rFonts w:cstheme="minorHAnsi"/>
          <w:sz w:val="20"/>
          <w:szCs w:val="20"/>
        </w:rPr>
        <w:t xml:space="preserve"> CV </w:t>
      </w:r>
      <w:r w:rsidR="00A71DA0" w:rsidRPr="005607F9">
        <w:rPr>
          <w:rFonts w:cstheme="minorHAnsi"/>
          <w:sz w:val="20"/>
          <w:szCs w:val="20"/>
        </w:rPr>
        <w:t xml:space="preserve">and </w:t>
      </w:r>
      <w:r w:rsidR="004F39B0" w:rsidRPr="005607F9">
        <w:rPr>
          <w:rFonts w:cstheme="minorHAnsi"/>
          <w:sz w:val="20"/>
          <w:szCs w:val="20"/>
        </w:rPr>
        <w:t>a covering letter</w:t>
      </w:r>
      <w:r w:rsidR="005607F9" w:rsidRPr="005607F9">
        <w:rPr>
          <w:rFonts w:cstheme="minorHAnsi"/>
          <w:sz w:val="20"/>
          <w:szCs w:val="20"/>
        </w:rPr>
        <w:t xml:space="preserve"> explaining why you want the job and how your experience fulfils the criteria to </w:t>
      </w:r>
      <w:hyperlink r:id="rId10" w:history="1">
        <w:r w:rsidR="004315B4" w:rsidRPr="003C045C">
          <w:rPr>
            <w:rStyle w:val="Hyperlink"/>
          </w:rPr>
          <w:t>recruitment.thearkgedling@gmail.com</w:t>
        </w:r>
      </w:hyperlink>
      <w:r w:rsidR="00EB5CFB">
        <w:t xml:space="preserve"> </w:t>
      </w:r>
      <w:r w:rsidR="000A68C8" w:rsidRPr="00D45495">
        <w:rPr>
          <w:rFonts w:cstheme="minorHAnsi"/>
          <w:sz w:val="20"/>
          <w:szCs w:val="20"/>
        </w:rPr>
        <w:t xml:space="preserve"> </w:t>
      </w:r>
    </w:p>
    <w:p w14:paraId="6575AC52" w14:textId="77777777" w:rsidR="00BA1041" w:rsidRPr="00D45495" w:rsidRDefault="00BA1041" w:rsidP="00BA1041">
      <w:pPr>
        <w:rPr>
          <w:rFonts w:cstheme="minorHAnsi"/>
          <w:b/>
          <w:bCs/>
          <w:sz w:val="20"/>
          <w:szCs w:val="20"/>
        </w:rPr>
      </w:pPr>
      <w:r w:rsidRPr="00D45495">
        <w:rPr>
          <w:rFonts w:cstheme="minorHAnsi"/>
          <w:b/>
          <w:bCs/>
          <w:sz w:val="20"/>
          <w:szCs w:val="20"/>
        </w:rPr>
        <w:t>Application deadline:</w:t>
      </w:r>
    </w:p>
    <w:p w14:paraId="67960D42" w14:textId="0522E9A6" w:rsidR="007330CE" w:rsidRPr="00D45495" w:rsidRDefault="00BA1041" w:rsidP="00126062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>Applications must be received in the format stated above by</w:t>
      </w:r>
      <w:r w:rsidR="005607F9">
        <w:rPr>
          <w:rFonts w:cstheme="minorHAnsi"/>
          <w:color w:val="FF0000"/>
          <w:sz w:val="20"/>
          <w:szCs w:val="20"/>
        </w:rPr>
        <w:t xml:space="preserve"> </w:t>
      </w:r>
      <w:r w:rsidR="00EB5CFB">
        <w:rPr>
          <w:rFonts w:cstheme="minorHAnsi"/>
          <w:sz w:val="20"/>
          <w:szCs w:val="20"/>
        </w:rPr>
        <w:t xml:space="preserve">Friday </w:t>
      </w:r>
      <w:r w:rsidR="002A0A54">
        <w:rPr>
          <w:rFonts w:cstheme="minorHAnsi"/>
          <w:sz w:val="20"/>
          <w:szCs w:val="20"/>
        </w:rPr>
        <w:t>5</w:t>
      </w:r>
      <w:r w:rsidR="002A0A54" w:rsidRPr="002A0A54">
        <w:rPr>
          <w:rFonts w:cstheme="minorHAnsi"/>
          <w:sz w:val="20"/>
          <w:szCs w:val="20"/>
          <w:vertAlign w:val="superscript"/>
        </w:rPr>
        <w:t>th</w:t>
      </w:r>
      <w:r w:rsidR="002A0A54">
        <w:rPr>
          <w:rFonts w:cstheme="minorHAnsi"/>
          <w:sz w:val="20"/>
          <w:szCs w:val="20"/>
        </w:rPr>
        <w:t xml:space="preserve"> September</w:t>
      </w:r>
      <w:r w:rsidR="005607F9" w:rsidRPr="005607F9">
        <w:rPr>
          <w:rFonts w:cstheme="minorHAnsi"/>
          <w:sz w:val="20"/>
          <w:szCs w:val="20"/>
        </w:rPr>
        <w:t xml:space="preserve"> 2025</w:t>
      </w:r>
      <w:r w:rsidR="00B4284F" w:rsidRPr="00D45495">
        <w:rPr>
          <w:rFonts w:cstheme="minorHAnsi"/>
          <w:sz w:val="20"/>
          <w:szCs w:val="20"/>
        </w:rPr>
        <w:t xml:space="preserve">. Interviews </w:t>
      </w:r>
      <w:r w:rsidR="005607F9">
        <w:rPr>
          <w:rFonts w:cstheme="minorHAnsi"/>
          <w:sz w:val="20"/>
          <w:szCs w:val="20"/>
        </w:rPr>
        <w:t xml:space="preserve">are currently scheduled for </w:t>
      </w:r>
      <w:r w:rsidR="004F2FD0" w:rsidRPr="004F2FD0">
        <w:rPr>
          <w:rFonts w:cstheme="minorHAnsi"/>
          <w:b/>
          <w:bCs/>
          <w:sz w:val="20"/>
          <w:szCs w:val="20"/>
        </w:rPr>
        <w:t>week commencing 15</w:t>
      </w:r>
      <w:r w:rsidR="004F2FD0" w:rsidRPr="004F2FD0">
        <w:rPr>
          <w:rFonts w:cstheme="minorHAnsi"/>
          <w:b/>
          <w:bCs/>
          <w:sz w:val="20"/>
          <w:szCs w:val="20"/>
          <w:vertAlign w:val="superscript"/>
        </w:rPr>
        <w:t>th</w:t>
      </w:r>
      <w:r w:rsidR="004F2FD0" w:rsidRPr="004F2FD0">
        <w:rPr>
          <w:rFonts w:cstheme="minorHAnsi"/>
          <w:b/>
          <w:bCs/>
          <w:sz w:val="20"/>
          <w:szCs w:val="20"/>
        </w:rPr>
        <w:t xml:space="preserve"> September 2025</w:t>
      </w:r>
    </w:p>
    <w:p w14:paraId="38B1F40C" w14:textId="3F08F321" w:rsidR="009D1AF1" w:rsidRPr="00D45495" w:rsidRDefault="001C1540" w:rsidP="00126062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 xml:space="preserve">For further information please call 0115 8599556 or email </w:t>
      </w:r>
      <w:hyperlink r:id="rId11" w:history="1">
        <w:r w:rsidR="004315B4" w:rsidRPr="003C045C">
          <w:rPr>
            <w:rStyle w:val="Hyperlink"/>
            <w:rFonts w:cstheme="minorHAnsi"/>
            <w:sz w:val="20"/>
            <w:szCs w:val="20"/>
          </w:rPr>
          <w:t>recruitment.thearkgedling@gmail.com</w:t>
        </w:r>
      </w:hyperlink>
      <w:r w:rsidR="00EB5CFB">
        <w:rPr>
          <w:rFonts w:cstheme="minorHAnsi"/>
          <w:color w:val="00B0F0"/>
          <w:sz w:val="20"/>
          <w:szCs w:val="20"/>
        </w:rPr>
        <w:t xml:space="preserve"> </w:t>
      </w:r>
      <w:r w:rsidR="00FD4D03" w:rsidRPr="00D45495">
        <w:rPr>
          <w:rFonts w:cstheme="minorHAnsi"/>
          <w:color w:val="FF0000"/>
          <w:sz w:val="20"/>
          <w:szCs w:val="20"/>
        </w:rPr>
        <w:br/>
      </w:r>
    </w:p>
    <w:sectPr w:rsidR="009D1AF1" w:rsidRPr="00D45495" w:rsidSect="00F40422">
      <w:pgSz w:w="12240" w:h="15840" w:code="1"/>
      <w:pgMar w:top="1361" w:right="1440" w:bottom="136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449C"/>
    <w:multiLevelType w:val="hybridMultilevel"/>
    <w:tmpl w:val="8B5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03D"/>
    <w:multiLevelType w:val="multilevel"/>
    <w:tmpl w:val="0A0A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D76F4"/>
    <w:multiLevelType w:val="hybridMultilevel"/>
    <w:tmpl w:val="7A80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155E"/>
    <w:multiLevelType w:val="hybridMultilevel"/>
    <w:tmpl w:val="DAE2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0310"/>
    <w:multiLevelType w:val="hybridMultilevel"/>
    <w:tmpl w:val="3452BE5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F079C"/>
    <w:multiLevelType w:val="hybridMultilevel"/>
    <w:tmpl w:val="3D96113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79312F3"/>
    <w:multiLevelType w:val="multilevel"/>
    <w:tmpl w:val="35E4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27AD1"/>
    <w:multiLevelType w:val="hybridMultilevel"/>
    <w:tmpl w:val="EBFC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0597B"/>
    <w:multiLevelType w:val="hybridMultilevel"/>
    <w:tmpl w:val="24F0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E3CB9"/>
    <w:multiLevelType w:val="hybridMultilevel"/>
    <w:tmpl w:val="92507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631F9"/>
    <w:multiLevelType w:val="multilevel"/>
    <w:tmpl w:val="A64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32931"/>
    <w:multiLevelType w:val="multilevel"/>
    <w:tmpl w:val="CE4A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C580B"/>
    <w:multiLevelType w:val="multilevel"/>
    <w:tmpl w:val="F06E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8707E2"/>
    <w:multiLevelType w:val="multilevel"/>
    <w:tmpl w:val="374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E30F8"/>
    <w:multiLevelType w:val="multilevel"/>
    <w:tmpl w:val="B1E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04228"/>
    <w:multiLevelType w:val="hybridMultilevel"/>
    <w:tmpl w:val="5554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70424"/>
    <w:multiLevelType w:val="hybridMultilevel"/>
    <w:tmpl w:val="361E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63A4"/>
    <w:multiLevelType w:val="multilevel"/>
    <w:tmpl w:val="C654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344090"/>
    <w:multiLevelType w:val="multilevel"/>
    <w:tmpl w:val="2DF2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33884"/>
    <w:multiLevelType w:val="hybridMultilevel"/>
    <w:tmpl w:val="BF48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E2B0D"/>
    <w:multiLevelType w:val="multilevel"/>
    <w:tmpl w:val="8DCC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B81CC1"/>
    <w:multiLevelType w:val="multilevel"/>
    <w:tmpl w:val="7DD2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593B90"/>
    <w:multiLevelType w:val="multilevel"/>
    <w:tmpl w:val="7AEA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14D84"/>
    <w:multiLevelType w:val="multilevel"/>
    <w:tmpl w:val="E74E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247C89"/>
    <w:multiLevelType w:val="hybridMultilevel"/>
    <w:tmpl w:val="BD58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A7700"/>
    <w:multiLevelType w:val="multilevel"/>
    <w:tmpl w:val="2A8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482344"/>
    <w:multiLevelType w:val="hybridMultilevel"/>
    <w:tmpl w:val="61F6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65431">
    <w:abstractNumId w:val="2"/>
  </w:num>
  <w:num w:numId="2" w16cid:durableId="1490056319">
    <w:abstractNumId w:val="5"/>
  </w:num>
  <w:num w:numId="3" w16cid:durableId="500773338">
    <w:abstractNumId w:val="8"/>
  </w:num>
  <w:num w:numId="4" w16cid:durableId="1418670586">
    <w:abstractNumId w:val="0"/>
  </w:num>
  <w:num w:numId="5" w16cid:durableId="1606423276">
    <w:abstractNumId w:val="3"/>
  </w:num>
  <w:num w:numId="6" w16cid:durableId="1639921826">
    <w:abstractNumId w:val="26"/>
  </w:num>
  <w:num w:numId="7" w16cid:durableId="1267889341">
    <w:abstractNumId w:val="22"/>
  </w:num>
  <w:num w:numId="8" w16cid:durableId="100954559">
    <w:abstractNumId w:val="23"/>
  </w:num>
  <w:num w:numId="9" w16cid:durableId="2134319774">
    <w:abstractNumId w:val="10"/>
  </w:num>
  <w:num w:numId="10" w16cid:durableId="1821771246">
    <w:abstractNumId w:val="14"/>
  </w:num>
  <w:num w:numId="11" w16cid:durableId="95295201">
    <w:abstractNumId w:val="11"/>
  </w:num>
  <w:num w:numId="12" w16cid:durableId="654917662">
    <w:abstractNumId w:val="20"/>
  </w:num>
  <w:num w:numId="13" w16cid:durableId="790629212">
    <w:abstractNumId w:val="25"/>
  </w:num>
  <w:num w:numId="14" w16cid:durableId="361126586">
    <w:abstractNumId w:val="18"/>
  </w:num>
  <w:num w:numId="15" w16cid:durableId="752748260">
    <w:abstractNumId w:val="13"/>
  </w:num>
  <w:num w:numId="16" w16cid:durableId="844246616">
    <w:abstractNumId w:val="6"/>
  </w:num>
  <w:num w:numId="17" w16cid:durableId="724061842">
    <w:abstractNumId w:val="1"/>
  </w:num>
  <w:num w:numId="18" w16cid:durableId="276253996">
    <w:abstractNumId w:val="24"/>
  </w:num>
  <w:num w:numId="19" w16cid:durableId="243226922">
    <w:abstractNumId w:val="15"/>
  </w:num>
  <w:num w:numId="20" w16cid:durableId="418138050">
    <w:abstractNumId w:val="17"/>
  </w:num>
  <w:num w:numId="21" w16cid:durableId="1998530300">
    <w:abstractNumId w:val="7"/>
  </w:num>
  <w:num w:numId="22" w16cid:durableId="1497764041">
    <w:abstractNumId w:val="12"/>
  </w:num>
  <w:num w:numId="23" w16cid:durableId="2107580426">
    <w:abstractNumId w:val="21"/>
  </w:num>
  <w:num w:numId="24" w16cid:durableId="1177579340">
    <w:abstractNumId w:val="9"/>
  </w:num>
  <w:num w:numId="25" w16cid:durableId="1972320477">
    <w:abstractNumId w:val="16"/>
  </w:num>
  <w:num w:numId="26" w16cid:durableId="2092460965">
    <w:abstractNumId w:val="19"/>
  </w:num>
  <w:num w:numId="27" w16cid:durableId="2030447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7E"/>
    <w:rsid w:val="00012821"/>
    <w:rsid w:val="00015AD2"/>
    <w:rsid w:val="0004729E"/>
    <w:rsid w:val="00050211"/>
    <w:rsid w:val="000A0BA1"/>
    <w:rsid w:val="000A68C8"/>
    <w:rsid w:val="000B4A8A"/>
    <w:rsid w:val="000C6D66"/>
    <w:rsid w:val="000C74D1"/>
    <w:rsid w:val="000E2AE3"/>
    <w:rsid w:val="000F6756"/>
    <w:rsid w:val="000F7409"/>
    <w:rsid w:val="00126062"/>
    <w:rsid w:val="00142415"/>
    <w:rsid w:val="0015123F"/>
    <w:rsid w:val="00176C5A"/>
    <w:rsid w:val="00184B75"/>
    <w:rsid w:val="001C1540"/>
    <w:rsid w:val="001C3D90"/>
    <w:rsid w:val="001E1DB6"/>
    <w:rsid w:val="00211E7E"/>
    <w:rsid w:val="00256274"/>
    <w:rsid w:val="00280B7A"/>
    <w:rsid w:val="002A0A54"/>
    <w:rsid w:val="002D7417"/>
    <w:rsid w:val="003015EA"/>
    <w:rsid w:val="0030582F"/>
    <w:rsid w:val="00323E9A"/>
    <w:rsid w:val="0033550E"/>
    <w:rsid w:val="00344685"/>
    <w:rsid w:val="00362D86"/>
    <w:rsid w:val="00386CF1"/>
    <w:rsid w:val="0039316F"/>
    <w:rsid w:val="003E4348"/>
    <w:rsid w:val="00420764"/>
    <w:rsid w:val="00427AA5"/>
    <w:rsid w:val="004315B4"/>
    <w:rsid w:val="00456D00"/>
    <w:rsid w:val="00482E0B"/>
    <w:rsid w:val="0048648F"/>
    <w:rsid w:val="004F2FD0"/>
    <w:rsid w:val="004F39B0"/>
    <w:rsid w:val="00556051"/>
    <w:rsid w:val="005607F9"/>
    <w:rsid w:val="005632CD"/>
    <w:rsid w:val="00563F42"/>
    <w:rsid w:val="00582645"/>
    <w:rsid w:val="005F07F7"/>
    <w:rsid w:val="0062264A"/>
    <w:rsid w:val="0065064A"/>
    <w:rsid w:val="0066000E"/>
    <w:rsid w:val="006D4EBA"/>
    <w:rsid w:val="006F3469"/>
    <w:rsid w:val="006F5575"/>
    <w:rsid w:val="006F55CD"/>
    <w:rsid w:val="00703092"/>
    <w:rsid w:val="007205DF"/>
    <w:rsid w:val="0073195A"/>
    <w:rsid w:val="007325A4"/>
    <w:rsid w:val="007330CE"/>
    <w:rsid w:val="00747474"/>
    <w:rsid w:val="007718F7"/>
    <w:rsid w:val="007733BE"/>
    <w:rsid w:val="007B06CE"/>
    <w:rsid w:val="007E3523"/>
    <w:rsid w:val="00814C4F"/>
    <w:rsid w:val="00844585"/>
    <w:rsid w:val="008450F3"/>
    <w:rsid w:val="008526B8"/>
    <w:rsid w:val="00853CB2"/>
    <w:rsid w:val="0089767F"/>
    <w:rsid w:val="008A20AC"/>
    <w:rsid w:val="008B595E"/>
    <w:rsid w:val="00945D3D"/>
    <w:rsid w:val="00974DF6"/>
    <w:rsid w:val="00991F06"/>
    <w:rsid w:val="00992AA6"/>
    <w:rsid w:val="009939DC"/>
    <w:rsid w:val="009B7598"/>
    <w:rsid w:val="009D1AF1"/>
    <w:rsid w:val="009E56F4"/>
    <w:rsid w:val="00A60FE6"/>
    <w:rsid w:val="00A61BA0"/>
    <w:rsid w:val="00A71DA0"/>
    <w:rsid w:val="00A827CF"/>
    <w:rsid w:val="00A87570"/>
    <w:rsid w:val="00A9306D"/>
    <w:rsid w:val="00A962E2"/>
    <w:rsid w:val="00AC5808"/>
    <w:rsid w:val="00AD5261"/>
    <w:rsid w:val="00B32882"/>
    <w:rsid w:val="00B4284F"/>
    <w:rsid w:val="00B540D0"/>
    <w:rsid w:val="00B551EA"/>
    <w:rsid w:val="00B62E16"/>
    <w:rsid w:val="00BA1041"/>
    <w:rsid w:val="00BA232E"/>
    <w:rsid w:val="00BA31CA"/>
    <w:rsid w:val="00BD3434"/>
    <w:rsid w:val="00C07304"/>
    <w:rsid w:val="00C23616"/>
    <w:rsid w:val="00C316B0"/>
    <w:rsid w:val="00C96299"/>
    <w:rsid w:val="00CB10E6"/>
    <w:rsid w:val="00CC1226"/>
    <w:rsid w:val="00CC601A"/>
    <w:rsid w:val="00CD74F2"/>
    <w:rsid w:val="00CF37FE"/>
    <w:rsid w:val="00CF39A1"/>
    <w:rsid w:val="00D00A55"/>
    <w:rsid w:val="00D45495"/>
    <w:rsid w:val="00D530F6"/>
    <w:rsid w:val="00D650E3"/>
    <w:rsid w:val="00D7085A"/>
    <w:rsid w:val="00D82E61"/>
    <w:rsid w:val="00D856B3"/>
    <w:rsid w:val="00D9573D"/>
    <w:rsid w:val="00D96BA0"/>
    <w:rsid w:val="00DA4A3E"/>
    <w:rsid w:val="00DD2B56"/>
    <w:rsid w:val="00DF559F"/>
    <w:rsid w:val="00E01E12"/>
    <w:rsid w:val="00E24B30"/>
    <w:rsid w:val="00E4216A"/>
    <w:rsid w:val="00E43A1D"/>
    <w:rsid w:val="00E445CC"/>
    <w:rsid w:val="00E5477D"/>
    <w:rsid w:val="00E6091D"/>
    <w:rsid w:val="00E713C1"/>
    <w:rsid w:val="00E73F48"/>
    <w:rsid w:val="00E82077"/>
    <w:rsid w:val="00E8277E"/>
    <w:rsid w:val="00EB5CFB"/>
    <w:rsid w:val="00EE2D2E"/>
    <w:rsid w:val="00EF0DCB"/>
    <w:rsid w:val="00EF3A95"/>
    <w:rsid w:val="00EF6F0E"/>
    <w:rsid w:val="00F322F0"/>
    <w:rsid w:val="00F40422"/>
    <w:rsid w:val="00F55C6C"/>
    <w:rsid w:val="00F5682A"/>
    <w:rsid w:val="00F9551D"/>
    <w:rsid w:val="00FB5673"/>
    <w:rsid w:val="00FD4D03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F66E"/>
  <w15:docId w15:val="{38B7C713-1FC2-45C5-95FB-E220AFCC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A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A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21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21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11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10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5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Char Char"/>
    <w:basedOn w:val="DefaultParagraphFont"/>
    <w:link w:val="Header"/>
    <w:semiHidden/>
    <w:locked/>
    <w:rsid w:val="00814C4F"/>
    <w:rPr>
      <w:rFonts w:ascii="Arial" w:hAnsi="Arial" w:cs="Arial"/>
      <w:lang w:val="x-none"/>
    </w:rPr>
  </w:style>
  <w:style w:type="paragraph" w:styleId="Header">
    <w:name w:val="header"/>
    <w:aliases w:val="Char"/>
    <w:basedOn w:val="Normal"/>
    <w:link w:val="HeaderChar"/>
    <w:semiHidden/>
    <w:unhideWhenUsed/>
    <w:rsid w:val="00814C4F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lang w:val="x-none"/>
    </w:rPr>
  </w:style>
  <w:style w:type="character" w:customStyle="1" w:styleId="HeaderChar1">
    <w:name w:val="Header Char1"/>
    <w:basedOn w:val="DefaultParagraphFont"/>
    <w:uiPriority w:val="99"/>
    <w:semiHidden/>
    <w:rsid w:val="00814C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.thearkgedling@gmail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recruitment.thearkgedling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b9c71-7642-4c83-8fd2-167a42481298">
      <Terms xmlns="http://schemas.microsoft.com/office/infopath/2007/PartnerControls"/>
    </lcf76f155ced4ddcb4097134ff3c332f>
    <TaxCatchAll xmlns="1cd59cf3-b498-481a-8954-ef363ba69c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3077A2F4D8E4EA2073FA26FEA0386" ma:contentTypeVersion="18" ma:contentTypeDescription="Create a new document." ma:contentTypeScope="" ma:versionID="2effe064c44e754b0b1fe31693185e94">
  <xsd:schema xmlns:xsd="http://www.w3.org/2001/XMLSchema" xmlns:xs="http://www.w3.org/2001/XMLSchema" xmlns:p="http://schemas.microsoft.com/office/2006/metadata/properties" xmlns:ns2="004b9c71-7642-4c83-8fd2-167a42481298" xmlns:ns3="1cd59cf3-b498-481a-8954-ef363ba69cf7" targetNamespace="http://schemas.microsoft.com/office/2006/metadata/properties" ma:root="true" ma:fieldsID="f021a5d28ac68755bd7e6d5aa930c540" ns2:_="" ns3:_="">
    <xsd:import namespace="004b9c71-7642-4c83-8fd2-167a42481298"/>
    <xsd:import namespace="1cd59cf3-b498-481a-8954-ef363ba69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9c71-7642-4c83-8fd2-167a42481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9c3fc8-3962-49cc-8c76-a23b3d3ae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9cf3-b498-481a-8954-ef363ba69cf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79cde1-916d-41f4-a53a-2296de474a12}" ma:internalName="TaxCatchAll" ma:showField="CatchAllData" ma:web="1cd59cf3-b498-481a-8954-ef363ba69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39A58-A082-47B4-A079-C8154B762A5B}">
  <ds:schemaRefs>
    <ds:schemaRef ds:uri="http://schemas.microsoft.com/office/2006/metadata/properties"/>
    <ds:schemaRef ds:uri="http://schemas.microsoft.com/office/infopath/2007/PartnerControls"/>
    <ds:schemaRef ds:uri="004b9c71-7642-4c83-8fd2-167a42481298"/>
    <ds:schemaRef ds:uri="1cd59cf3-b498-481a-8954-ef363ba69cf7"/>
  </ds:schemaRefs>
</ds:datastoreItem>
</file>

<file path=customXml/itemProps2.xml><?xml version="1.0" encoding="utf-8"?>
<ds:datastoreItem xmlns:ds="http://schemas.openxmlformats.org/officeDocument/2006/customXml" ds:itemID="{F8AD3AEB-3005-4E71-8DDF-CADDC4F08E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FAB69B-5626-4E80-8C08-C9EDF7C4E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D5C2E-B9AA-41A2-BAAE-B51E3CFA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9c71-7642-4c83-8fd2-167a42481298"/>
    <ds:schemaRef ds:uri="1cd59cf3-b498-481a-8954-ef363ba69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Baldry</dc:creator>
  <cp:lastModifiedBy>Andrew Scott</cp:lastModifiedBy>
  <cp:revision>47</cp:revision>
  <cp:lastPrinted>2024-08-21T08:11:00Z</cp:lastPrinted>
  <dcterms:created xsi:type="dcterms:W3CDTF">2025-07-23T20:09:00Z</dcterms:created>
  <dcterms:modified xsi:type="dcterms:W3CDTF">2025-08-05T20:16:00Z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0x010100F833077A2F4D8E4EA2073FA26FEA0386</vt:lpwstr>
  </property>
</Properties>
</file>